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广州中医药大学本</w:t>
      </w:r>
      <w:r>
        <w:rPr>
          <w:rFonts w:hint="eastAsia"/>
          <w:b/>
          <w:sz w:val="32"/>
          <w:szCs w:val="32"/>
          <w:lang w:eastAsia="zh-CN"/>
        </w:rPr>
        <w:t>专</w:t>
      </w:r>
      <w:r>
        <w:rPr>
          <w:rFonts w:hint="eastAsia"/>
          <w:b/>
          <w:sz w:val="32"/>
          <w:szCs w:val="32"/>
        </w:rPr>
        <w:t>科生结业后课程</w:t>
      </w:r>
      <w:r>
        <w:rPr>
          <w:rFonts w:hint="eastAsia"/>
          <w:b/>
          <w:sz w:val="32"/>
          <w:szCs w:val="32"/>
          <w:lang w:eastAsia="zh-CN"/>
        </w:rPr>
        <w:t>重新修读</w:t>
      </w:r>
      <w:r>
        <w:rPr>
          <w:rFonts w:hint="eastAsia"/>
          <w:b/>
          <w:sz w:val="32"/>
          <w:szCs w:val="32"/>
        </w:rPr>
        <w:t>申请表</w:t>
      </w:r>
    </w:p>
    <w:tbl>
      <w:tblPr>
        <w:tblStyle w:val="5"/>
        <w:tblW w:w="93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221"/>
        <w:gridCol w:w="2202"/>
        <w:gridCol w:w="36"/>
        <w:gridCol w:w="872"/>
        <w:gridCol w:w="663"/>
        <w:gridCol w:w="1871"/>
        <w:gridCol w:w="1155"/>
        <w:gridCol w:w="9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2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320" w:firstLineChars="5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年级          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7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  <w:jc w:val="center"/>
        </w:trPr>
        <w:tc>
          <w:tcPr>
            <w:tcW w:w="9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根据《广州中医药大学</w:t>
            </w:r>
            <w:r>
              <w:t>学生结业</w:t>
            </w:r>
            <w:r>
              <w:rPr>
                <w:rFonts w:hint="eastAsia"/>
              </w:rPr>
              <w:t>后课程重新修读的管理办法》（见附件），学生结业</w:t>
            </w:r>
            <w:r>
              <w:rPr>
                <w:rFonts w:hint="eastAsia"/>
                <w:color w:val="FF0000"/>
              </w:rPr>
              <w:t>两</w:t>
            </w:r>
            <w:r>
              <w:rPr>
                <w:rFonts w:hint="eastAsia"/>
              </w:rPr>
              <w:t>年内可以申请参加结业后课程重新修读，必须填写《广州中医药大学本</w:t>
            </w:r>
            <w:r>
              <w:rPr>
                <w:rFonts w:hint="eastAsia"/>
                <w:lang w:eastAsia="zh-CN"/>
              </w:rPr>
              <w:t>专</w:t>
            </w:r>
            <w:r>
              <w:rPr>
                <w:rFonts w:hint="eastAsia"/>
              </w:rPr>
              <w:t>科生结业后课程重新修读申请表》。不按要求提交《广州中医药大学本</w:t>
            </w:r>
            <w:r>
              <w:rPr>
                <w:rFonts w:hint="eastAsia"/>
                <w:lang w:eastAsia="zh-CN"/>
              </w:rPr>
              <w:t>专</w:t>
            </w:r>
            <w:r>
              <w:rPr>
                <w:rFonts w:hint="eastAsia"/>
              </w:rPr>
              <w:t>科生结业后课程重新修读申请表》或重修课程后不按时参加考试者视为自动放弃。请根据重修课程开课学期选择重修学期。</w:t>
            </w:r>
          </w:p>
          <w:p>
            <w:pPr>
              <w:spacing w:line="42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本人已认真阅读并充分理解上述规定，</w:t>
            </w:r>
            <w:r>
              <w:rPr>
                <w:rFonts w:hint="eastAsia" w:ascii="宋体" w:hAnsi="宋体"/>
                <w:szCs w:val="21"/>
              </w:rPr>
              <w:t>如重修课程考试仍不及格，根据《广州中医药大学学生学籍管理实施细则》相关规定，本人将无法获得毕业证。</w:t>
            </w:r>
          </w:p>
          <w:p>
            <w:pPr>
              <w:widowControl/>
              <w:spacing w:line="600" w:lineRule="exact"/>
              <w:ind w:firstLine="6120" w:firstLineChars="25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申请人签名：</w:t>
            </w:r>
          </w:p>
          <w:p>
            <w:pPr>
              <w:widowControl/>
              <w:spacing w:after="156" w:afterLines="50" w:line="6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申请20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年    月重修课程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重修课程名称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学分</w:t>
            </w:r>
          </w:p>
        </w:tc>
        <w:tc>
          <w:tcPr>
            <w:tcW w:w="4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交费金额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156" w:afterLines="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学生所在</w:t>
            </w:r>
          </w:p>
          <w:p>
            <w:pPr>
              <w:adjustRightInd w:val="0"/>
              <w:snapToGrid w:val="0"/>
              <w:spacing w:after="156" w:afterLines="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学院意见</w:t>
            </w:r>
          </w:p>
        </w:tc>
        <w:tc>
          <w:tcPr>
            <w:tcW w:w="7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after="156" w:afterLines="50"/>
              <w:ind w:firstLine="1200" w:firstLineChars="5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after="156" w:afterLines="50"/>
              <w:ind w:firstLine="1200" w:firstLineChars="5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after="156" w:afterLines="50"/>
              <w:ind w:firstLine="3000" w:firstLineChars="12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公章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财务处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公章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教务处</w:t>
            </w:r>
          </w:p>
        </w:tc>
        <w:tc>
          <w:tcPr>
            <w:tcW w:w="77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公章                年     月     日                                </w:t>
            </w:r>
          </w:p>
        </w:tc>
      </w:tr>
    </w:tbl>
    <w:p>
      <w:pPr>
        <w:ind w:right="-693" w:rightChars="-33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备注：1.“学分”、“交费金额”栏由学生所在学院填写。</w:t>
      </w:r>
    </w:p>
    <w:p>
      <w:pPr>
        <w:ind w:right="-693" w:rightChars="-330" w:firstLine="723" w:firstLineChars="300"/>
        <w:rPr>
          <w:rFonts w:hint="eastAsia"/>
        </w:rPr>
      </w:pPr>
      <w:r>
        <w:rPr>
          <w:rFonts w:hint="eastAsia" w:ascii="宋体" w:hAnsi="宋体"/>
          <w:b/>
          <w:sz w:val="24"/>
        </w:rPr>
        <w:t>2.本表一式两份（一份学院留存，一份交教务处备案）。</w:t>
      </w:r>
    </w:p>
    <w:p>
      <w:r>
        <w:rPr>
          <w:rFonts w:hint="eastAsia"/>
        </w:rPr>
        <w:t xml:space="preserve">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教务处制</w:t>
      </w:r>
    </w:p>
    <w:p/>
    <w:sectPr>
      <w:footerReference r:id="rId3" w:type="default"/>
      <w:footerReference r:id="rId4" w:type="even"/>
      <w:pgSz w:w="11906" w:h="16838"/>
      <w:pgMar w:top="1701" w:right="1418" w:bottom="1247" w:left="1304" w:header="851" w:footer="137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719" w:wrap="around" w:vAnchor="text" w:hAnchor="page" w:x="9285" w:y="12"/>
      <w:rPr>
        <w:rStyle w:val="4"/>
        <w:rFonts w:hint="eastAsia"/>
        <w:sz w:val="28"/>
      </w:rPr>
    </w:pPr>
    <w:r>
      <w:rPr>
        <w:rStyle w:val="4"/>
        <w:rFonts w:hint="eastAsia"/>
        <w:sz w:val="21"/>
      </w:rPr>
      <w:t>—</w:t>
    </w:r>
    <w:r>
      <w:rPr>
        <w:sz w:val="28"/>
      </w:rPr>
      <w:fldChar w:fldCharType="begin"/>
    </w:r>
    <w:r>
      <w:rPr>
        <w:rStyle w:val="4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4"/>
        <w:sz w:val="28"/>
      </w:rPr>
      <w:t>1</w:t>
    </w:r>
    <w:r>
      <w:rPr>
        <w:sz w:val="28"/>
      </w:rPr>
      <w:fldChar w:fldCharType="end"/>
    </w:r>
    <w:r>
      <w:rPr>
        <w:rStyle w:val="4"/>
        <w:rFonts w:hint="eastAsia"/>
        <w:sz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719" w:wrap="around" w:vAnchor="text" w:hAnchor="page" w:x="1949" w:y="-53"/>
      <w:rPr>
        <w:rStyle w:val="4"/>
        <w:rFonts w:hint="eastAsia"/>
        <w:sz w:val="28"/>
      </w:rPr>
    </w:pPr>
    <w:r>
      <w:rPr>
        <w:rStyle w:val="4"/>
        <w:rFonts w:hint="eastAsia"/>
        <w:sz w:val="21"/>
      </w:rPr>
      <w:t>—</w:t>
    </w:r>
    <w:r>
      <w:rPr>
        <w:sz w:val="28"/>
      </w:rPr>
      <w:fldChar w:fldCharType="begin"/>
    </w:r>
    <w:r>
      <w:rPr>
        <w:rStyle w:val="4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4"/>
        <w:sz w:val="28"/>
      </w:rPr>
      <w:t>2</w:t>
    </w:r>
    <w:r>
      <w:rPr>
        <w:sz w:val="28"/>
      </w:rPr>
      <w:fldChar w:fldCharType="end"/>
    </w:r>
    <w:r>
      <w:rPr>
        <w:rStyle w:val="4"/>
        <w:rFonts w:hint="eastAsia"/>
        <w:sz w:val="21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859DB"/>
    <w:rsid w:val="235859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gb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2018-09-12T00:40:00Z</dcterms:created>
  <dc:creator>dengcf</dc:creator>
  <cp:lastModifiedBy>dengcf</cp:lastModifiedBy>
  <dcterms:modified xsi:type="dcterms:W3CDTF">2018-09-12T00:41:16Z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